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15"/>
        <w:tblW w:w="5353" w:type="pct"/>
        <w:tblCellMar>
          <w:left w:w="70" w:type="dxa"/>
          <w:right w:w="70" w:type="dxa"/>
        </w:tblCellMar>
        <w:tblLook w:val="04A0"/>
      </w:tblPr>
      <w:tblGrid>
        <w:gridCol w:w="1632"/>
        <w:gridCol w:w="1492"/>
        <w:gridCol w:w="2080"/>
        <w:gridCol w:w="1621"/>
        <w:gridCol w:w="1420"/>
        <w:gridCol w:w="1009"/>
      </w:tblGrid>
      <w:tr w:rsidR="002A2DC7" w:rsidRPr="002A2DC7" w:rsidTr="002A2DC7">
        <w:trPr>
          <w:trHeight w:val="37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s-DO"/>
              </w:rPr>
            </w:pPr>
            <w:r w:rsidRPr="002A2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s-DO"/>
              </w:rPr>
              <w:t>República Dominicana</w:t>
            </w:r>
          </w:p>
        </w:tc>
      </w:tr>
      <w:tr w:rsidR="002A2DC7" w:rsidRPr="002A2DC7" w:rsidTr="002A2DC7">
        <w:trPr>
          <w:trHeight w:val="9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Palace Script MT" w:eastAsia="Times New Roman" w:hAnsi="Palace Script MT" w:cs="Calibri"/>
                <w:sz w:val="72"/>
                <w:szCs w:val="72"/>
                <w:lang w:eastAsia="es-DO"/>
              </w:rPr>
            </w:pPr>
            <w:r w:rsidRPr="002A2DC7">
              <w:rPr>
                <w:rFonts w:ascii="Palace Script MT" w:eastAsia="Times New Roman" w:hAnsi="Palace Script MT" w:cs="Calibri"/>
                <w:sz w:val="72"/>
                <w:szCs w:val="72"/>
                <w:lang w:eastAsia="es-DO"/>
              </w:rPr>
              <w:t>Ministerio de Hacienda</w:t>
            </w:r>
          </w:p>
        </w:tc>
      </w:tr>
      <w:tr w:rsidR="002A2DC7" w:rsidRPr="002A2DC7" w:rsidTr="002A2DC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2A2DC7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CENTRO DE CAPACITACIÓN EN POLÍTICA Y GESTIÓN FISCAL</w:t>
            </w:r>
          </w:p>
        </w:tc>
      </w:tr>
      <w:tr w:rsidR="002A2DC7" w:rsidRPr="002A2DC7" w:rsidTr="002A2DC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A2D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“Año de Fomento de las Exportaciones”</w:t>
            </w:r>
          </w:p>
        </w:tc>
      </w:tr>
      <w:tr w:rsidR="002A2DC7" w:rsidRPr="002A2DC7" w:rsidTr="002A2DC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CECECE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DB0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2A2DC7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LISTADO DE COMPRAS APROBADAS Y REALIZADAS EN EL MES DE </w:t>
            </w:r>
            <w:r w:rsidR="00DB07C2">
              <w:rPr>
                <w:rFonts w:ascii="Calibri" w:eastAsia="Times New Roman" w:hAnsi="Calibri" w:cs="Calibri"/>
                <w:color w:val="000000"/>
                <w:lang w:eastAsia="es-DO"/>
              </w:rPr>
              <w:t>MARZO</w:t>
            </w:r>
            <w:r w:rsidRPr="002A2DC7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 2018.</w:t>
            </w:r>
          </w:p>
        </w:tc>
      </w:tr>
      <w:tr w:rsidR="002A2DC7" w:rsidRPr="002A2DC7" w:rsidTr="00CE223A">
        <w:trPr>
          <w:trHeight w:val="735"/>
        </w:trPr>
        <w:tc>
          <w:tcPr>
            <w:tcW w:w="882" w:type="pct"/>
            <w:tcBorders>
              <w:top w:val="nil"/>
              <w:left w:val="single" w:sz="8" w:space="0" w:color="auto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Fecha Registro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Identificación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Descripción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Proveedor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Monto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Estado</w:t>
            </w:r>
          </w:p>
        </w:tc>
      </w:tr>
      <w:tr w:rsidR="00263F2F" w:rsidRPr="002A2DC7" w:rsidTr="00CE223A">
        <w:trPr>
          <w:trHeight w:val="1065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2F" w:rsidRDefault="00263F2F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15/03/2018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2F" w:rsidRPr="00DE7711" w:rsidRDefault="00263F2F" w:rsidP="00DE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hyperlink r:id="rId4" w:tooltip="CAPGEFI-DAF-CM-2018-0002" w:history="1">
              <w:r>
                <w:rPr>
                  <w:rStyle w:val="Hipervnculo"/>
                  <w:rFonts w:ascii="Arial" w:hAnsi="Arial" w:cs="Arial"/>
                  <w:b/>
                  <w:bCs/>
                  <w:color w:val="0074E8"/>
                  <w:sz w:val="26"/>
                  <w:szCs w:val="26"/>
                  <w:u w:val="none"/>
                  <w:bdr w:val="none" w:sz="0" w:space="0" w:color="auto" w:frame="1"/>
                  <w:shd w:val="clear" w:color="auto" w:fill="E2E2E2"/>
                </w:rPr>
                <w:t>CAPGEFI-DAF-CM-2018-0002</w:t>
              </w:r>
            </w:hyperlink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2F" w:rsidRDefault="00263F2F" w:rsidP="002A2DC7">
            <w:pPr>
              <w:spacing w:after="0" w:line="240" w:lineRule="auto"/>
            </w:pPr>
            <w:hyperlink r:id="rId5" w:history="1">
              <w:r>
                <w:rPr>
                  <w:rStyle w:val="Hipervnculo"/>
                  <w:rFonts w:ascii="Arial" w:hAnsi="Arial" w:cs="Arial"/>
                  <w:b/>
                  <w:bCs/>
                  <w:color w:val="0074E8"/>
                  <w:sz w:val="16"/>
                  <w:szCs w:val="16"/>
                  <w:u w:val="none"/>
                  <w:shd w:val="clear" w:color="auto" w:fill="FFFFFF"/>
                </w:rPr>
                <w:t>Adquisición de Alimentos y Bebidas (Servicios de Catering), para esta Institución, dirigido a Micros, Pequeñas y Medianas Empresas (MIPYMES).</w:t>
              </w:r>
            </w:hyperlink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2F" w:rsidRDefault="00263F2F" w:rsidP="002A2DC7">
            <w:pPr>
              <w:spacing w:after="0" w:line="240" w:lineRule="auto"/>
            </w:pPr>
            <w:r>
              <w:t>P.A. CATERING, SRL.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2F" w:rsidRPr="002A2DC7" w:rsidRDefault="00263F2F" w:rsidP="00263F2F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</w:t>
            </w: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 xml:space="preserve"> 74,340.00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F2F" w:rsidRPr="002A2DC7" w:rsidRDefault="00263F2F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CE223A">
        <w:trPr>
          <w:trHeight w:val="1065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09/3</w:t>
            </w:r>
            <w:r w:rsidR="002A2DC7"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/2018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Spacing w:w="0" w:type="dxa"/>
              <w:shd w:val="clear" w:color="auto" w:fill="E2E2E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"/>
              <w:gridCol w:w="1273"/>
            </w:tblGrid>
            <w:tr w:rsidR="00DE7711" w:rsidRPr="00DE7711" w:rsidTr="00DE7711">
              <w:trPr>
                <w:tblCellSpacing w:w="0" w:type="dxa"/>
              </w:trPr>
              <w:tc>
                <w:tcPr>
                  <w:tcW w:w="0" w:type="auto"/>
                  <w:shd w:val="clear" w:color="auto" w:fill="E2E2E2"/>
                  <w:vAlign w:val="center"/>
                  <w:hideMark/>
                </w:tcPr>
                <w:bookmarkStart w:id="0" w:name="incBuyerDossierDetaillnkRequestReference"/>
                <w:p w:rsidR="00DE7711" w:rsidRPr="00DE7711" w:rsidRDefault="00DE7711" w:rsidP="00DE7711">
                  <w:pPr>
                    <w:framePr w:hSpace="141" w:wrap="around" w:vAnchor="text" w:hAnchor="margin" w:y="41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DE77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fldChar w:fldCharType="begin"/>
                  </w:r>
                  <w:r w:rsidRPr="00DE77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instrText xml:space="preserve"> HYPERLINK "https://portal.comprasdominicana.gob.do/DO1BusinessLine/Tendering/BuyerDossierWorkspaceDetail/RedirectToProcedureRequestInNewWindow?mkey=8beefe60_3fd7_45da_86bd_347d303a982b.82dff5cf_396d_4fd1_ac75_701b37b324b6" \o "Abrir en una nueva pestaña" \t "_blank" </w:instrText>
                  </w:r>
                  <w:r w:rsidRPr="00DE77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fldChar w:fldCharType="separate"/>
                  </w:r>
                  <w:r w:rsidRPr="00DE7711">
                    <w:rPr>
                      <w:rFonts w:ascii="Arial" w:eastAsia="Times New Roman" w:hAnsi="Arial" w:cs="Arial"/>
                      <w:color w:val="0074E8"/>
                      <w:sz w:val="2"/>
                      <w:lang w:eastAsia="es-DO"/>
                    </w:rPr>
                    <w:t xml:space="preserve">Open in New </w:t>
                  </w:r>
                  <w:proofErr w:type="spellStart"/>
                  <w:r w:rsidRPr="00DE7711">
                    <w:rPr>
                      <w:rFonts w:ascii="Arial" w:eastAsia="Times New Roman" w:hAnsi="Arial" w:cs="Arial"/>
                      <w:color w:val="0074E8"/>
                      <w:sz w:val="2"/>
                      <w:lang w:eastAsia="es-DO"/>
                    </w:rPr>
                    <w:t>Tab</w:t>
                  </w:r>
                  <w:proofErr w:type="spellEnd"/>
                  <w:r w:rsidRPr="00DE77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fldChar w:fldCharType="end"/>
                  </w:r>
                  <w:bookmarkEnd w:id="0"/>
                </w:p>
              </w:tc>
              <w:tc>
                <w:tcPr>
                  <w:tcW w:w="0" w:type="auto"/>
                  <w:shd w:val="clear" w:color="auto" w:fill="E2E2E2"/>
                  <w:vAlign w:val="center"/>
                  <w:hideMark/>
                </w:tcPr>
                <w:p w:rsidR="00DE7711" w:rsidRPr="00DE7711" w:rsidRDefault="00DE7711" w:rsidP="00DE7711">
                  <w:pPr>
                    <w:framePr w:hSpace="141" w:wrap="around" w:vAnchor="text" w:hAnchor="margin" w:y="41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hyperlink r:id="rId6" w:tooltip="CAPGEFI-DAF-CM-2018-0001" w:history="1">
                    <w:r w:rsidRPr="00DE7711">
                      <w:rPr>
                        <w:rFonts w:ascii="Arial" w:eastAsia="Times New Roman" w:hAnsi="Arial" w:cs="Arial"/>
                        <w:b/>
                        <w:bCs/>
                        <w:color w:val="0074E8"/>
                        <w:sz w:val="26"/>
                        <w:lang w:eastAsia="es-DO"/>
                      </w:rPr>
                      <w:t>CAPGEFI-DAF-CM-2018-0001</w:t>
                    </w:r>
                  </w:hyperlink>
                </w:p>
              </w:tc>
            </w:tr>
          </w:tbl>
          <w:p w:rsidR="002A2DC7" w:rsidRPr="00DE7711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bookmarkStart w:id="1" w:name="incBuyerDossierDetaillnkRequestName"/>
        <w:tc>
          <w:tcPr>
            <w:tcW w:w="11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Hipervnculo"/>
                <w:rFonts w:ascii="Arial" w:hAnsi="Arial" w:cs="Arial"/>
                <w:b/>
                <w:bCs/>
                <w:color w:val="0074E8"/>
                <w:sz w:val="20"/>
                <w:szCs w:val="20"/>
                <w:u w:val="none"/>
                <w:shd w:val="clear" w:color="auto" w:fill="FFFFFF"/>
              </w:rPr>
              <w:t>Adquisición Servicios de Lavandería, para esta Institución</w:t>
            </w:r>
            <w:r>
              <w:fldChar w:fldCharType="end"/>
            </w:r>
            <w:bookmarkEnd w:id="1"/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t>MARTHA VIRGINIA MARTINEZ GOMEZ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DE7711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</w:t>
            </w:r>
            <w:r w:rsidR="00DE7711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114,996.90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CE223A">
        <w:trPr>
          <w:trHeight w:val="900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15/3</w:t>
            </w:r>
            <w:r w:rsidR="002A2DC7"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/2018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DE7711" w:rsidRDefault="00DE7711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hyperlink r:id="rId7" w:tooltip="CAPGEFI-UC-CD-2018-0008" w:history="1">
              <w:r w:rsidRPr="00DE7711">
                <w:rPr>
                  <w:rStyle w:val="Hipervnculo"/>
                  <w:rFonts w:ascii="Arial" w:hAnsi="Arial" w:cs="Arial"/>
                  <w:b/>
                  <w:bCs/>
                  <w:color w:val="0074E8"/>
                  <w:sz w:val="26"/>
                  <w:szCs w:val="26"/>
                  <w:u w:val="none"/>
                  <w:bdr w:val="none" w:sz="0" w:space="0" w:color="auto" w:frame="1"/>
                  <w:shd w:val="clear" w:color="auto" w:fill="E2E2E2"/>
                </w:rPr>
                <w:t>CAPGEFI-UC-CD-2018-0008</w:t>
              </w:r>
            </w:hyperlink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hyperlink r:id="rId8" w:history="1">
              <w:r>
                <w:rPr>
                  <w:rStyle w:val="Hipervnculo"/>
                  <w:rFonts w:ascii="Arial" w:hAnsi="Arial" w:cs="Arial"/>
                  <w:b/>
                  <w:bCs/>
                  <w:color w:val="0074E8"/>
                  <w:sz w:val="20"/>
                  <w:szCs w:val="20"/>
                  <w:u w:val="none"/>
                  <w:shd w:val="clear" w:color="auto" w:fill="FFFFFF"/>
                </w:rPr>
                <w:t>Adquisición de Servicios Legales, de esta institución.</w:t>
              </w:r>
            </w:hyperlink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LUCIA REYES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</w:t>
            </w:r>
            <w:r w:rsidR="00DE7711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95,816.00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CE223A">
        <w:trPr>
          <w:trHeight w:val="765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13/3</w:t>
            </w:r>
            <w:r w:rsidR="002A2DC7"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/2018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hyperlink r:id="rId9" w:tooltip="CAPGEFI-MAE-PEUR-2018-0001" w:history="1">
              <w:r>
                <w:rPr>
                  <w:rFonts w:ascii="Arial" w:hAnsi="Arial" w:cs="Arial"/>
                  <w:b/>
                  <w:bCs/>
                  <w:color w:val="0074E8"/>
                  <w:sz w:val="26"/>
                  <w:szCs w:val="26"/>
                  <w:bdr w:val="none" w:sz="0" w:space="0" w:color="auto" w:frame="1"/>
                  <w:shd w:val="clear" w:color="auto" w:fill="E2E2E2"/>
                </w:rPr>
                <w:br/>
              </w:r>
              <w:r>
                <w:rPr>
                  <w:rStyle w:val="Hipervnculo"/>
                  <w:rFonts w:ascii="Arial" w:hAnsi="Arial" w:cs="Arial"/>
                  <w:b/>
                  <w:bCs/>
                  <w:color w:val="0074E8"/>
                  <w:sz w:val="26"/>
                  <w:szCs w:val="26"/>
                  <w:u w:val="none"/>
                  <w:bdr w:val="none" w:sz="0" w:space="0" w:color="auto" w:frame="1"/>
                  <w:shd w:val="clear" w:color="auto" w:fill="E2E2E2"/>
                </w:rPr>
                <w:t>CAPGEFI-MAE-PEUR-2018-0001</w:t>
              </w:r>
            </w:hyperlink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  <w:b/>
                  <w:bCs/>
                  <w:color w:val="0074E8"/>
                  <w:sz w:val="20"/>
                  <w:szCs w:val="20"/>
                  <w:u w:val="none"/>
                  <w:shd w:val="clear" w:color="auto" w:fill="FFFFFF"/>
                </w:rPr>
                <w:t>Adquisición de Servicios de Adecuación e Impermeabilización en Pared de Fachada Sur (4to y 5to Piso) del Edificio anexo al Ministerio de Hacienda</w:t>
              </w:r>
            </w:hyperlink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DE7711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CONRUCTORA VIRTUAL EIRL.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DE7711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</w:t>
            </w:r>
            <w:r w:rsidR="00DE7711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698, 632.40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CE223A">
        <w:trPr>
          <w:trHeight w:val="585"/>
        </w:trPr>
        <w:tc>
          <w:tcPr>
            <w:tcW w:w="368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2A2DC7">
              <w:rPr>
                <w:rFonts w:ascii="Calibri" w:eastAsia="Times New Roman" w:hAnsi="Calibri" w:cs="Calibri"/>
                <w:color w:val="000000"/>
                <w:lang w:eastAsia="es-DO"/>
              </w:rPr>
              <w:t>MONTO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63F2F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</w:t>
            </w:r>
            <w:r w:rsidR="00263F2F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983</w:t>
            </w:r>
            <w:r w:rsidR="00CE223A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,</w:t>
            </w:r>
            <w:r w:rsidR="00263F2F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785</w:t>
            </w:r>
            <w:r w:rsidR="00CE223A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.3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</w:tr>
    </w:tbl>
    <w:p w:rsidR="002A2DC7" w:rsidRDefault="002A2DC7"/>
    <w:p w:rsidR="002A2DC7" w:rsidRDefault="002A2DC7" w:rsidP="002A2DC7"/>
    <w:p w:rsidR="000D38AC" w:rsidRPr="002A2DC7" w:rsidRDefault="00263F2F" w:rsidP="002A2DC7"/>
    <w:sectPr w:rsidR="000D38AC" w:rsidRPr="002A2DC7" w:rsidSect="00EA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2DC7"/>
    <w:rsid w:val="00107777"/>
    <w:rsid w:val="00263F2F"/>
    <w:rsid w:val="002A2DC7"/>
    <w:rsid w:val="00921784"/>
    <w:rsid w:val="00C92A8B"/>
    <w:rsid w:val="00CE223A"/>
    <w:rsid w:val="00DB07C2"/>
    <w:rsid w:val="00DE7711"/>
    <w:rsid w:val="00EA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Volquez Mercedez</dc:creator>
  <cp:lastModifiedBy>Joanna Volquez Mercedez</cp:lastModifiedBy>
  <cp:revision>6</cp:revision>
  <dcterms:created xsi:type="dcterms:W3CDTF">2018-04-02T15:19:00Z</dcterms:created>
  <dcterms:modified xsi:type="dcterms:W3CDTF">2018-04-02T15:35:00Z</dcterms:modified>
</cp:coreProperties>
</file>